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0E7C7B"/>
          <w:sz w:val="22"/>
          <w:szCs w:val="22"/>
        </w:rPr>
        <w:t xml:space="preserve">Lazomis QI — Audit Report</w:t>
      </w:r>
    </w:p>
    <w:p>
      <w:pPr>
        <w:pStyle w:val="Title"/>
        <w:spacing w:after="120"/>
      </w:pPr>
      <w:r>
        <w:rPr>
          <w:b/>
          <w:bCs/>
          <w:color w:val="1A2B4A"/>
        </w:rPr>
        <w:t xml:space="preserve">Sepsis Six Audit</w:t>
      </w:r>
    </w:p>
    <w:p>
      <w:pPr>
        <w:spacing w:after="160"/>
      </w:pPr>
      <w:r>
        <w:rPr>
          <w:b/>
          <w:bCs/>
          <w:i/>
          <w:iCs/>
          <w:color w:val="C9A227"/>
        </w:rPr>
        <w:t xml:space="preserve">Demonstration Data — fictional, not for clinical use</w:t>
      </w:r>
    </w:p>
    <w:p>
      <w:pPr>
        <w:pStyle w:val="Heading2"/>
        <w:spacing w:after="120" w:before="260"/>
      </w:pPr>
      <w:r>
        <w:rPr>
          <w:b/>
          <w:bCs/>
          <w:color w:val="1A2B4A"/>
        </w:rPr>
        <w:t xml:space="preserve">Audit standard</w:t>
      </w:r>
    </w:p>
    <w:p>
      <w:pPr>
        <w:spacing w:after="120"/>
      </w:pPr>
      <w:r>
        <w:t xml:space="preserve">UK Sepsis Trust Sepsis Six care bundle; NICE NG51 (Sepsis: recognition, diagnosis and early management).</w:t>
      </w:r>
    </w:p>
    <w:p>
      <w:pPr>
        <w:pStyle w:val="Heading2"/>
        <w:spacing w:after="120" w:before="260"/>
      </w:pPr>
      <w:r>
        <w:rPr>
          <w:b/>
          <w:bCs/>
          <w:color w:val="1A2B4A"/>
        </w:rPr>
        <w:t xml:space="preserve">Background</w:t>
      </w:r>
    </w:p>
    <w:p>
      <w:pPr>
        <w:spacing w:after="120"/>
      </w:pPr>
      <w:r>
        <w:t xml:space="preserve">The Sepsis Six is a set of six interventions that, when delivered promptly, improve outcomes in sepsis. This audit reviews compliance against each element to identify where care can be improved.</w:t>
      </w:r>
    </w:p>
    <w:p>
      <w:pPr>
        <w:pStyle w:val="Heading2"/>
        <w:spacing w:after="120" w:before="260"/>
      </w:pPr>
      <w:r>
        <w:rPr>
          <w:b/>
          <w:bCs/>
          <w:color w:val="1A2B4A"/>
        </w:rPr>
        <w:t xml:space="preserve">Aim</w:t>
      </w:r>
    </w:p>
    <w:p>
      <w:pPr>
        <w:spacing w:after="120"/>
      </w:pPr>
      <w:r>
        <w:t xml:space="preserve">Measure delivery of all six elements of the Sepsis Six bundle within one hour of identifying sepsis.</w:t>
      </w:r>
    </w:p>
    <w:p>
      <w:pPr>
        <w:pStyle w:val="Heading2"/>
        <w:spacing w:after="120" w:before="260"/>
      </w:pPr>
      <w:r>
        <w:rPr>
          <w:b/>
          <w:bCs/>
          <w:color w:val="1A2B4A"/>
        </w:rPr>
        <w:t xml:space="preserve">Methodology</w:t>
      </w:r>
    </w:p>
    <w:p>
      <w:pPr>
        <w:spacing w:after="120"/>
      </w:pPr>
      <w:r>
        <w:t xml:space="preserve">A retrospective case-note review was undertaken against the audit standard. Cases meeting the inclusion criteria were assessed for each criterion (Yes / No / Not applicable). Compliance was calculated as the proportion of applicable cases meeting each criterion, against a 95% standard. A total of 16 cases were reviewed, of which 15 met the inclusion criteria.</w:t>
      </w:r>
    </w:p>
    <w:p>
      <w:pPr>
        <w:pStyle w:val="Heading2"/>
        <w:spacing w:after="120" w:before="260"/>
      </w:pPr>
      <w:r>
        <w:rPr>
          <w:b/>
          <w:bCs/>
          <w:color w:val="1A2B4A"/>
        </w:rPr>
        <w:t xml:space="preserve">Inclusion criteria</w:t>
      </w:r>
    </w:p>
    <w:p>
      <w:pPr>
        <w:pStyle w:val="ListParagraph"/>
        <w:numPr>
          <w:ilvl w:val="0"/>
          <w:numId w:val="1"/>
        </w:numPr>
        <w:spacing w:after="60"/>
      </w:pPr>
      <w:r>
        <w:t xml:space="preserve">Adult patients (16+) with a clinical diagnosis of sepsis or suspected sepsis</w:t>
      </w:r>
    </w:p>
    <w:p>
      <w:pPr>
        <w:pStyle w:val="ListParagraph"/>
        <w:numPr>
          <w:ilvl w:val="0"/>
          <w:numId w:val="1"/>
        </w:numPr>
        <w:spacing w:after="60"/>
      </w:pPr>
      <w:r>
        <w:t xml:space="preserve">Patients triggering a sepsis screening tool / NEWS2 escalation</w:t>
      </w:r>
    </w:p>
    <w:p>
      <w:pPr>
        <w:pStyle w:val="Heading2"/>
        <w:spacing w:after="120" w:before="260"/>
      </w:pPr>
      <w:r>
        <w:rPr>
          <w:b/>
          <w:bCs/>
          <w:color w:val="1A2B4A"/>
        </w:rPr>
        <w:t xml:space="preserve">Exclusion criteria</w:t>
      </w:r>
    </w:p>
    <w:p>
      <w:pPr>
        <w:pStyle w:val="ListParagraph"/>
        <w:numPr>
          <w:ilvl w:val="0"/>
          <w:numId w:val="1"/>
        </w:numPr>
        <w:spacing w:after="60"/>
      </w:pPr>
      <w:r>
        <w:t xml:space="preserve">Patients on an end-of-life / palliative pathway where the bundle is not appropriate</w:t>
      </w:r>
    </w:p>
    <w:p>
      <w:pPr>
        <w:pStyle w:val="ListParagraph"/>
        <w:numPr>
          <w:ilvl w:val="0"/>
          <w:numId w:val="1"/>
        </w:numPr>
        <w:spacing w:after="60"/>
      </w:pPr>
      <w:r>
        <w:t xml:space="preserve">Paediatric patients (covered by a separate pathway)</w:t>
      </w:r>
    </w:p>
    <w:p>
      <w:pPr>
        <w:pStyle w:val="Heading2"/>
        <w:spacing w:after="120" w:before="260"/>
      </w:pPr>
      <w:r>
        <w:rPr>
          <w:b/>
          <w:bCs/>
          <w:color w:val="1A2B4A"/>
        </w:rPr>
        <w:t xml:space="preserve">Results</w:t>
      </w:r>
    </w:p>
    <w:p>
      <w:pPr>
        <w:spacing w:after="120"/>
      </w:pPr>
      <w:r>
        <w:t xml:space="preserve">Cases reviewed: 16. Cases included: 15. Fully compliant cases: 8/15. Overall bundle compliance (all elements met): 53%.</w:t>
      </w:r>
    </w:p>
    <w:p>
      <w:pPr>
        <w:spacing w:after="80" w:before="80"/>
      </w:pPr>
      <w:r>
        <w:rPr>
          <w:b/>
          <w:bCs/>
        </w:rPr>
        <w:t xml:space="preserve">Table 1. Compliance by audit criterion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00"/>
        <w:gridCol w:w="2360"/>
      </w:tblGrid>
      <w:tr>
        <w:trPr>
          <w:tblHeader/>
        </w:trPr>
        <w:tc>
          <w:tcPr>
            <w:tcBorders>
              <w:top w:val="single" w:color="D1D5DB" w:sz="1"/>
              <w:left w:val="single" w:color="D1D5DB" w:sz="1"/>
              <w:bottom w:val="single" w:color="D1D5DB" w:sz="1"/>
              <w:right w:val="single" w:color="D1D5DB" w:sz="1"/>
            </w:tcBorders>
            <w:shd w:fill="1A2B4A" w:color="auto" w:val="clear"/>
            <w:tcMar>
              <w:top w:type="dxa" w:w="60"/>
              <w:left w:type="dxa" w:w="120"/>
              <w:bottom w:type="dxa" w:w="60"/>
              <w:right w:type="dxa" w:w="120"/>
            </w:tcMar>
          </w:tcPr>
          <w:p>
            <w:r>
              <w:rPr>
                <w:b/>
                <w:bCs/>
                <w:color w:val="FFFFFF"/>
              </w:rPr>
              <w:t xml:space="preserve">Audit criterion</w:t>
            </w:r>
          </w:p>
        </w:tc>
        <w:tc>
          <w:tcPr>
            <w:tcBorders>
              <w:top w:val="single" w:color="D1D5DB" w:sz="1"/>
              <w:left w:val="single" w:color="D1D5DB" w:sz="1"/>
              <w:bottom w:val="single" w:color="D1D5DB" w:sz="1"/>
              <w:right w:val="single" w:color="D1D5DB" w:sz="1"/>
            </w:tcBorders>
            <w:shd w:fill="1A2B4A" w:color="auto" w:val="clear"/>
            <w:tcMar>
              <w:top w:type="dxa" w:w="60"/>
              <w:left w:type="dxa" w:w="120"/>
              <w:bottom w:type="dxa" w:w="60"/>
              <w:right w:type="dxa" w:w="120"/>
            </w:tcMar>
          </w:tcPr>
          <w:p>
            <w:r>
              <w:rPr>
                <w:b/>
                <w:bCs/>
                <w:color w:val="FFFFFF"/>
              </w:rPr>
              <w:t xml:space="preserve">Compliance</w:t>
            </w:r>
          </w:p>
        </w:tc>
      </w:tr>
      <w:tr>
        <w:tc>
          <w:tcPr>
            <w:tcBorders>
              <w:top w:val="single" w:color="D1D5DB" w:sz="1"/>
              <w:left w:val="single" w:color="D1D5DB" w:sz="1"/>
              <w:bottom w:val="single" w:color="D1D5DB" w:sz="1"/>
              <w:right w:val="single" w:color="D1D5DB" w:sz="1"/>
            </w:tcBorders>
            <w:tcMar>
              <w:top w:type="dxa" w:w="60"/>
              <w:left w:type="dxa" w:w="120"/>
              <w:bottom w:type="dxa" w:w="60"/>
              <w:right w:type="dxa" w:w="120"/>
            </w:tcMar>
          </w:tcPr>
          <w:p>
            <w:r>
              <w:t xml:space="preserve">Oxygen given to maintain target saturations</w:t>
            </w:r>
          </w:p>
        </w:tc>
        <w:tc>
          <w:tcPr>
            <w:tcBorders>
              <w:top w:val="single" w:color="D1D5DB" w:sz="1"/>
              <w:left w:val="single" w:color="D1D5DB" w:sz="1"/>
              <w:bottom w:val="single" w:color="D1D5DB" w:sz="1"/>
              <w:right w:val="single" w:color="D1D5DB" w:sz="1"/>
            </w:tcBorders>
            <w:tcMar>
              <w:top w:type="dxa" w:w="60"/>
              <w:left w:type="dxa" w:w="120"/>
              <w:bottom w:type="dxa" w:w="60"/>
              <w:right w:type="dxa" w:w="120"/>
            </w:tcMar>
          </w:tcPr>
          <w:p>
            <w:r>
              <w:t xml:space="preserve">100%</w:t>
            </w:r>
          </w:p>
        </w:tc>
      </w:tr>
      <w:tr>
        <w:tc>
          <w:tcPr>
            <w:tcBorders>
              <w:top w:val="single" w:color="D1D5DB" w:sz="1"/>
              <w:left w:val="single" w:color="D1D5DB" w:sz="1"/>
              <w:bottom w:val="single" w:color="D1D5DB" w:sz="1"/>
              <w:right w:val="single" w:color="D1D5DB" w:sz="1"/>
            </w:tcBorders>
            <w:tcMar>
              <w:top w:type="dxa" w:w="60"/>
              <w:left w:type="dxa" w:w="120"/>
              <w:bottom w:type="dxa" w:w="60"/>
              <w:right w:type="dxa" w:w="120"/>
            </w:tcMar>
          </w:tcPr>
          <w:p>
            <w:r>
              <w:t xml:space="preserve">Blood cultures taken before antibiotics</w:t>
            </w:r>
          </w:p>
        </w:tc>
        <w:tc>
          <w:tcPr>
            <w:tcBorders>
              <w:top w:val="single" w:color="D1D5DB" w:sz="1"/>
              <w:left w:val="single" w:color="D1D5DB" w:sz="1"/>
              <w:bottom w:val="single" w:color="D1D5DB" w:sz="1"/>
              <w:right w:val="single" w:color="D1D5DB" w:sz="1"/>
            </w:tcBorders>
            <w:tcMar>
              <w:top w:type="dxa" w:w="60"/>
              <w:left w:type="dxa" w:w="120"/>
              <w:bottom w:type="dxa" w:w="60"/>
              <w:right w:type="dxa" w:w="120"/>
            </w:tcMar>
          </w:tcPr>
          <w:p>
            <w:r>
              <w:t xml:space="preserve">93%</w:t>
            </w:r>
          </w:p>
        </w:tc>
      </w:tr>
      <w:tr>
        <w:tc>
          <w:tcPr>
            <w:tcBorders>
              <w:top w:val="single" w:color="D1D5DB" w:sz="1"/>
              <w:left w:val="single" w:color="D1D5DB" w:sz="1"/>
              <w:bottom w:val="single" w:color="D1D5DB" w:sz="1"/>
              <w:right w:val="single" w:color="D1D5DB" w:sz="1"/>
            </w:tcBorders>
            <w:tcMar>
              <w:top w:type="dxa" w:w="60"/>
              <w:left w:type="dxa" w:w="120"/>
              <w:bottom w:type="dxa" w:w="60"/>
              <w:right w:type="dxa" w:w="120"/>
            </w:tcMar>
          </w:tcPr>
          <w:p>
            <w:r>
              <w:t xml:space="preserve">IV antibiotics administered within 1 hour</w:t>
            </w:r>
          </w:p>
        </w:tc>
        <w:tc>
          <w:tcPr>
            <w:tcBorders>
              <w:top w:val="single" w:color="D1D5DB" w:sz="1"/>
              <w:left w:val="single" w:color="D1D5DB" w:sz="1"/>
              <w:bottom w:val="single" w:color="D1D5DB" w:sz="1"/>
              <w:right w:val="single" w:color="D1D5DB" w:sz="1"/>
            </w:tcBorders>
            <w:tcMar>
              <w:top w:type="dxa" w:w="60"/>
              <w:left w:type="dxa" w:w="120"/>
              <w:bottom w:type="dxa" w:w="60"/>
              <w:right w:type="dxa" w:w="120"/>
            </w:tcMar>
          </w:tcPr>
          <w:p>
            <w:r>
              <w:t xml:space="preserve">80%</w:t>
            </w:r>
          </w:p>
        </w:tc>
      </w:tr>
      <w:tr>
        <w:tc>
          <w:tcPr>
            <w:tcBorders>
              <w:top w:val="single" w:color="D1D5DB" w:sz="1"/>
              <w:left w:val="single" w:color="D1D5DB" w:sz="1"/>
              <w:bottom w:val="single" w:color="D1D5DB" w:sz="1"/>
              <w:right w:val="single" w:color="D1D5DB" w:sz="1"/>
            </w:tcBorders>
            <w:tcMar>
              <w:top w:type="dxa" w:w="60"/>
              <w:left w:type="dxa" w:w="120"/>
              <w:bottom w:type="dxa" w:w="60"/>
              <w:right w:type="dxa" w:w="120"/>
            </w:tcMar>
          </w:tcPr>
          <w:p>
            <w:r>
              <w:t xml:space="preserve">IV fluid resuscitation commenced where indicated</w:t>
            </w:r>
          </w:p>
        </w:tc>
        <w:tc>
          <w:tcPr>
            <w:tcBorders>
              <w:top w:val="single" w:color="D1D5DB" w:sz="1"/>
              <w:left w:val="single" w:color="D1D5DB" w:sz="1"/>
              <w:bottom w:val="single" w:color="D1D5DB" w:sz="1"/>
              <w:right w:val="single" w:color="D1D5DB" w:sz="1"/>
            </w:tcBorders>
            <w:tcMar>
              <w:top w:type="dxa" w:w="60"/>
              <w:left w:type="dxa" w:w="120"/>
              <w:bottom w:type="dxa" w:w="60"/>
              <w:right w:type="dxa" w:w="120"/>
            </w:tcMar>
          </w:tcPr>
          <w:p>
            <w:r>
              <w:t xml:space="preserve">93%</w:t>
            </w:r>
          </w:p>
        </w:tc>
      </w:tr>
      <w:tr>
        <w:tc>
          <w:tcPr>
            <w:tcBorders>
              <w:top w:val="single" w:color="D1D5DB" w:sz="1"/>
              <w:left w:val="single" w:color="D1D5DB" w:sz="1"/>
              <w:bottom w:val="single" w:color="D1D5DB" w:sz="1"/>
              <w:right w:val="single" w:color="D1D5DB" w:sz="1"/>
            </w:tcBorders>
            <w:tcMar>
              <w:top w:type="dxa" w:w="60"/>
              <w:left w:type="dxa" w:w="120"/>
              <w:bottom w:type="dxa" w:w="60"/>
              <w:right w:type="dxa" w:w="120"/>
            </w:tcMar>
          </w:tcPr>
          <w:p>
            <w:r>
              <w:t xml:space="preserve">Serum lactate measured</w:t>
            </w:r>
          </w:p>
        </w:tc>
        <w:tc>
          <w:tcPr>
            <w:tcBorders>
              <w:top w:val="single" w:color="D1D5DB" w:sz="1"/>
              <w:left w:val="single" w:color="D1D5DB" w:sz="1"/>
              <w:bottom w:val="single" w:color="D1D5DB" w:sz="1"/>
              <w:right w:val="single" w:color="D1D5DB" w:sz="1"/>
            </w:tcBorders>
            <w:tcMar>
              <w:top w:type="dxa" w:w="60"/>
              <w:left w:type="dxa" w:w="120"/>
              <w:bottom w:type="dxa" w:w="60"/>
              <w:right w:type="dxa" w:w="120"/>
            </w:tcMar>
          </w:tcPr>
          <w:p>
            <w:r>
              <w:t xml:space="preserve">100%</w:t>
            </w:r>
          </w:p>
        </w:tc>
      </w:tr>
      <w:tr>
        <w:tc>
          <w:tcPr>
            <w:tcBorders>
              <w:top w:val="single" w:color="D1D5DB" w:sz="1"/>
              <w:left w:val="single" w:color="D1D5DB" w:sz="1"/>
              <w:bottom w:val="single" w:color="D1D5DB" w:sz="1"/>
              <w:right w:val="single" w:color="D1D5DB" w:sz="1"/>
            </w:tcBorders>
            <w:tcMar>
              <w:top w:type="dxa" w:w="60"/>
              <w:left w:type="dxa" w:w="120"/>
              <w:bottom w:type="dxa" w:w="60"/>
              <w:right w:type="dxa" w:w="120"/>
            </w:tcMar>
          </w:tcPr>
          <w:p>
            <w:r>
              <w:t xml:space="preserve">Urine output measured / monitored</w:t>
            </w:r>
          </w:p>
        </w:tc>
        <w:tc>
          <w:tcPr>
            <w:tcBorders>
              <w:top w:val="single" w:color="D1D5DB" w:sz="1"/>
              <w:left w:val="single" w:color="D1D5DB" w:sz="1"/>
              <w:bottom w:val="single" w:color="D1D5DB" w:sz="1"/>
              <w:right w:val="single" w:color="D1D5DB" w:sz="1"/>
            </w:tcBorders>
            <w:tcMar>
              <w:top w:type="dxa" w:w="60"/>
              <w:left w:type="dxa" w:w="120"/>
              <w:bottom w:type="dxa" w:w="60"/>
              <w:right w:type="dxa" w:w="120"/>
            </w:tcMar>
          </w:tcPr>
          <w:p>
            <w:r>
              <w:t xml:space="preserve">69%</w:t>
            </w:r>
          </w:p>
        </w:tc>
      </w:tr>
    </w:tbl>
    <w:p>
      <w:pPr>
        <w:pStyle w:val="Heading2"/>
        <w:spacing w:after="120" w:before="260"/>
      </w:pPr>
      <w:r>
        <w:rPr>
          <w:b/>
          <w:bCs/>
          <w:color w:val="1A2B4A"/>
        </w:rPr>
        <w:t xml:space="preserve">Charts</w:t>
      </w:r>
    </w:p>
    <w:p>
      <w:pPr>
        <w:spacing w:after="80" w:before="80"/>
      </w:pPr>
      <w:r>
        <w:rPr>
          <w:b/>
          <w:bCs/>
        </w:rPr>
        <w:t xml:space="preserve">Figure 1. Compliance by audit criterion (%)</w:t>
      </w:r>
    </w:p>
    <w:p>
      <w:r>
        <w:drawing>
          <wp:inline distT="0" distB="0" distL="0" distR="0">
            <wp:extent cx="5715000" cy="2009775"/>
            <wp:effectExtent t="0" r="0" b="0" l="0"/>
            <wp:docPr id="1" name="complianceChart" descr="Bar chart of compliance by criterion" title="Complianc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2009775"/>
                    </a:xfrm>
                    <a:prstGeom prst="rect">
                      <a:avLst/>
                    </a:prstGeom>
                  </pic:spPr>
                </pic:pic>
              </a:graphicData>
            </a:graphic>
          </wp:inline>
        </w:drawing>
      </w:r>
    </w:p>
    <w:p>
      <w:pPr>
        <w:pStyle w:val="Heading2"/>
        <w:spacing w:after="120" w:before="260"/>
      </w:pPr>
      <w:r>
        <w:rPr>
          <w:b/>
          <w:bCs/>
          <w:color w:val="1A2B4A"/>
        </w:rPr>
        <w:t xml:space="preserve">Interpretation</w:t>
      </w:r>
    </w:p>
    <w:p>
      <w:pPr>
        <w:spacing w:after="120"/>
      </w:pPr>
      <w:r>
        <w:t xml:space="preserve">Compliance is below the expected target. Prioritise the lowest-performing elements and undertake a structured PDSA improvement cycle.</w:t>
      </w:r>
    </w:p>
    <w:p>
      <w:pPr>
        <w:pStyle w:val="Heading2"/>
        <w:spacing w:after="120" w:before="260"/>
      </w:pPr>
      <w:r>
        <w:rPr>
          <w:b/>
          <w:bCs/>
          <w:color w:val="1A2B4A"/>
        </w:rPr>
        <w:t xml:space="preserve">Recommendations</w:t>
      </w:r>
    </w:p>
    <w:p>
      <w:pPr>
        <w:pStyle w:val="ListParagraph"/>
        <w:numPr>
          <w:ilvl w:val="0"/>
          <w:numId w:val="1"/>
        </w:numPr>
        <w:spacing w:after="60"/>
      </w:pPr>
      <w:r>
        <w:t xml:space="preserve">Improve "Urine output measured / monitored" (currently 69%) towards the 95% standard through targeted education, prompts and process change.</w:t>
      </w:r>
    </w:p>
    <w:p>
      <w:pPr>
        <w:pStyle w:val="ListParagraph"/>
        <w:numPr>
          <w:ilvl w:val="0"/>
          <w:numId w:val="1"/>
        </w:numPr>
        <w:spacing w:after="60"/>
      </w:pPr>
      <w:r>
        <w:t xml:space="preserve">Improve "IV antibiotics administered within 1 hour" (currently 80%) towards the 95% standard through targeted education, prompts and process change.</w:t>
      </w:r>
    </w:p>
    <w:p>
      <w:pPr>
        <w:pStyle w:val="ListParagraph"/>
        <w:numPr>
          <w:ilvl w:val="0"/>
          <w:numId w:val="1"/>
        </w:numPr>
        <w:spacing w:after="60"/>
      </w:pPr>
      <w:r>
        <w:t xml:space="preserve">Improve "Blood cultures taken before antibiotics" (currently 93%) towards the 95% standard through targeted education, prompts and process change.</w:t>
      </w:r>
    </w:p>
    <w:p>
      <w:pPr>
        <w:pStyle w:val="ListParagraph"/>
        <w:numPr>
          <w:ilvl w:val="0"/>
          <w:numId w:val="1"/>
        </w:numPr>
        <w:spacing w:after="60"/>
      </w:pPr>
      <w:r>
        <w:t xml:space="preserve">Improve "IV fluid resuscitation commenced where indicated" (currently 93%) towards the 95% standard through targeted education, prompts and process change.</w:t>
      </w:r>
    </w:p>
    <w:p>
      <w:pPr>
        <w:pStyle w:val="ListParagraph"/>
        <w:numPr>
          <w:ilvl w:val="0"/>
          <w:numId w:val="1"/>
        </w:numPr>
        <w:spacing w:after="60"/>
      </w:pPr>
      <w:r>
        <w:t xml:space="preserve">Share results with the clinical team and embed changes into local induction and governance processes.</w:t>
      </w:r>
    </w:p>
    <w:p>
      <w:pPr>
        <w:pStyle w:val="Heading2"/>
        <w:spacing w:after="120" w:before="260"/>
      </w:pPr>
      <w:r>
        <w:rPr>
          <w:b/>
          <w:bCs/>
          <w:color w:val="1A2B4A"/>
        </w:rPr>
        <w:t xml:space="preserve">Action plan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360"/>
        <w:gridCol w:w="3000"/>
        <w:gridCol w:w="1600"/>
        <w:gridCol w:w="1400"/>
      </w:tblGrid>
      <w:tr>
        <w:trPr>
          <w:tblHeader/>
        </w:trPr>
        <w:tc>
          <w:tcPr>
            <w:tcBorders>
              <w:top w:val="single" w:color="D1D5DB" w:sz="1"/>
              <w:left w:val="single" w:color="D1D5DB" w:sz="1"/>
              <w:bottom w:val="single" w:color="D1D5DB" w:sz="1"/>
              <w:right w:val="single" w:color="D1D5DB" w:sz="1"/>
            </w:tcBorders>
            <w:shd w:fill="1A2B4A" w:color="auto" w:val="clear"/>
            <w:tcMar>
              <w:top w:type="dxa" w:w="60"/>
              <w:left w:type="dxa" w:w="120"/>
              <w:bottom w:type="dxa" w:w="60"/>
              <w:right w:type="dxa" w:w="120"/>
            </w:tcMar>
          </w:tcPr>
          <w:p>
            <w:r>
              <w:rPr>
                <w:b/>
                <w:bCs/>
                <w:color w:val="FFFFFF"/>
              </w:rPr>
              <w:t xml:space="preserve">Issue</w:t>
            </w:r>
          </w:p>
        </w:tc>
        <w:tc>
          <w:tcPr>
            <w:tcBorders>
              <w:top w:val="single" w:color="D1D5DB" w:sz="1"/>
              <w:left w:val="single" w:color="D1D5DB" w:sz="1"/>
              <w:bottom w:val="single" w:color="D1D5DB" w:sz="1"/>
              <w:right w:val="single" w:color="D1D5DB" w:sz="1"/>
            </w:tcBorders>
            <w:shd w:fill="1A2B4A" w:color="auto" w:val="clear"/>
            <w:tcMar>
              <w:top w:type="dxa" w:w="60"/>
              <w:left w:type="dxa" w:w="120"/>
              <w:bottom w:type="dxa" w:w="60"/>
              <w:right w:type="dxa" w:w="120"/>
            </w:tcMar>
          </w:tcPr>
          <w:p>
            <w:r>
              <w:rPr>
                <w:b/>
                <w:bCs/>
                <w:color w:val="FFFFFF"/>
              </w:rPr>
              <w:t xml:space="preserve">Action</w:t>
            </w:r>
          </w:p>
        </w:tc>
        <w:tc>
          <w:tcPr>
            <w:tcBorders>
              <w:top w:val="single" w:color="D1D5DB" w:sz="1"/>
              <w:left w:val="single" w:color="D1D5DB" w:sz="1"/>
              <w:bottom w:val="single" w:color="D1D5DB" w:sz="1"/>
              <w:right w:val="single" w:color="D1D5DB" w:sz="1"/>
            </w:tcBorders>
            <w:shd w:fill="1A2B4A" w:color="auto" w:val="clear"/>
            <w:tcMar>
              <w:top w:type="dxa" w:w="60"/>
              <w:left w:type="dxa" w:w="120"/>
              <w:bottom w:type="dxa" w:w="60"/>
              <w:right w:type="dxa" w:w="120"/>
            </w:tcMar>
          </w:tcPr>
          <w:p>
            <w:r>
              <w:rPr>
                <w:b/>
                <w:bCs/>
                <w:color w:val="FFFFFF"/>
              </w:rPr>
              <w:t xml:space="preserve">Lead</w:t>
            </w:r>
          </w:p>
        </w:tc>
        <w:tc>
          <w:tcPr>
            <w:tcBorders>
              <w:top w:val="single" w:color="D1D5DB" w:sz="1"/>
              <w:left w:val="single" w:color="D1D5DB" w:sz="1"/>
              <w:bottom w:val="single" w:color="D1D5DB" w:sz="1"/>
              <w:right w:val="single" w:color="D1D5DB" w:sz="1"/>
            </w:tcBorders>
            <w:shd w:fill="1A2B4A" w:color="auto" w:val="clear"/>
            <w:tcMar>
              <w:top w:type="dxa" w:w="60"/>
              <w:left w:type="dxa" w:w="120"/>
              <w:bottom w:type="dxa" w:w="60"/>
              <w:right w:type="dxa" w:w="120"/>
            </w:tcMar>
          </w:tcPr>
          <w:p>
            <w:r>
              <w:rPr>
                <w:b/>
                <w:bCs/>
                <w:color w:val="FFFFFF"/>
              </w:rPr>
              <w:t xml:space="preserve">Timeframe</w:t>
            </w:r>
          </w:p>
        </w:tc>
      </w:tr>
      <w:tr>
        <w:tc>
          <w:tcPr>
            <w:tcBorders>
              <w:top w:val="single" w:color="D1D5DB" w:sz="1"/>
              <w:left w:val="single" w:color="D1D5DB" w:sz="1"/>
              <w:bottom w:val="single" w:color="D1D5DB" w:sz="1"/>
              <w:right w:val="single" w:color="D1D5DB" w:sz="1"/>
            </w:tcBorders>
            <w:tcMar>
              <w:top w:type="dxa" w:w="60"/>
              <w:left w:type="dxa" w:w="120"/>
              <w:bottom w:type="dxa" w:w="60"/>
              <w:right w:type="dxa" w:w="120"/>
            </w:tcMar>
          </w:tcPr>
          <w:p>
            <w:r>
              <w:t xml:space="preserve">Urine output measured / monitored (69%)</w:t>
            </w:r>
          </w:p>
        </w:tc>
        <w:tc>
          <w:tcPr>
            <w:tcBorders>
              <w:top w:val="single" w:color="D1D5DB" w:sz="1"/>
              <w:left w:val="single" w:color="D1D5DB" w:sz="1"/>
              <w:bottom w:val="single" w:color="D1D5DB" w:sz="1"/>
              <w:right w:val="single" w:color="D1D5DB" w:sz="1"/>
            </w:tcBorders>
            <w:tcMar>
              <w:top w:type="dxa" w:w="60"/>
              <w:left w:type="dxa" w:w="120"/>
              <w:bottom w:type="dxa" w:w="60"/>
              <w:right w:type="dxa" w:w="120"/>
            </w:tcMar>
          </w:tcPr>
          <w:p>
            <w:r>
              <w:t xml:space="preserve">Targeted education, process prompts and feedback to clinical team</w:t>
            </w:r>
          </w:p>
        </w:tc>
        <w:tc>
          <w:tcPr>
            <w:tcBorders>
              <w:top w:val="single" w:color="D1D5DB" w:sz="1"/>
              <w:left w:val="single" w:color="D1D5DB" w:sz="1"/>
              <w:bottom w:val="single" w:color="D1D5DB" w:sz="1"/>
              <w:right w:val="single" w:color="D1D5DB" w:sz="1"/>
            </w:tcBorders>
            <w:tcMar>
              <w:top w:type="dxa" w:w="60"/>
              <w:left w:type="dxa" w:w="120"/>
              <w:bottom w:type="dxa" w:w="60"/>
              <w:right w:type="dxa" w:w="120"/>
            </w:tcMar>
          </w:tcPr>
          <w:p>
            <w:r>
              <w:t xml:space="preserve">Audit lead / ward team</w:t>
            </w:r>
          </w:p>
        </w:tc>
        <w:tc>
          <w:tcPr>
            <w:tcBorders>
              <w:top w:val="single" w:color="D1D5DB" w:sz="1"/>
              <w:left w:val="single" w:color="D1D5DB" w:sz="1"/>
              <w:bottom w:val="single" w:color="D1D5DB" w:sz="1"/>
              <w:right w:val="single" w:color="D1D5DB" w:sz="1"/>
            </w:tcBorders>
            <w:tcMar>
              <w:top w:type="dxa" w:w="60"/>
              <w:left w:type="dxa" w:w="120"/>
              <w:bottom w:type="dxa" w:w="60"/>
              <w:right w:type="dxa" w:w="120"/>
            </w:tcMar>
          </w:tcPr>
          <w:p>
            <w:r>
              <w:t xml:space="preserve">Within 3 months</w:t>
            </w:r>
          </w:p>
        </w:tc>
      </w:tr>
      <w:tr>
        <w:tc>
          <w:tcPr>
            <w:tcBorders>
              <w:top w:val="single" w:color="D1D5DB" w:sz="1"/>
              <w:left w:val="single" w:color="D1D5DB" w:sz="1"/>
              <w:bottom w:val="single" w:color="D1D5DB" w:sz="1"/>
              <w:right w:val="single" w:color="D1D5DB" w:sz="1"/>
            </w:tcBorders>
            <w:tcMar>
              <w:top w:type="dxa" w:w="60"/>
              <w:left w:type="dxa" w:w="120"/>
              <w:bottom w:type="dxa" w:w="60"/>
              <w:right w:type="dxa" w:w="120"/>
            </w:tcMar>
          </w:tcPr>
          <w:p>
            <w:r>
              <w:t xml:space="preserve">IV antibiotics administered within 1 hour (80%)</w:t>
            </w:r>
          </w:p>
        </w:tc>
        <w:tc>
          <w:tcPr>
            <w:tcBorders>
              <w:top w:val="single" w:color="D1D5DB" w:sz="1"/>
              <w:left w:val="single" w:color="D1D5DB" w:sz="1"/>
              <w:bottom w:val="single" w:color="D1D5DB" w:sz="1"/>
              <w:right w:val="single" w:color="D1D5DB" w:sz="1"/>
            </w:tcBorders>
            <w:tcMar>
              <w:top w:type="dxa" w:w="60"/>
              <w:left w:type="dxa" w:w="120"/>
              <w:bottom w:type="dxa" w:w="60"/>
              <w:right w:type="dxa" w:w="120"/>
            </w:tcMar>
          </w:tcPr>
          <w:p>
            <w:r>
              <w:t xml:space="preserve">Targeted education, process prompts and feedback to clinical team</w:t>
            </w:r>
          </w:p>
        </w:tc>
        <w:tc>
          <w:tcPr>
            <w:tcBorders>
              <w:top w:val="single" w:color="D1D5DB" w:sz="1"/>
              <w:left w:val="single" w:color="D1D5DB" w:sz="1"/>
              <w:bottom w:val="single" w:color="D1D5DB" w:sz="1"/>
              <w:right w:val="single" w:color="D1D5DB" w:sz="1"/>
            </w:tcBorders>
            <w:tcMar>
              <w:top w:type="dxa" w:w="60"/>
              <w:left w:type="dxa" w:w="120"/>
              <w:bottom w:type="dxa" w:w="60"/>
              <w:right w:type="dxa" w:w="120"/>
            </w:tcMar>
          </w:tcPr>
          <w:p>
            <w:r>
              <w:t xml:space="preserve">Audit lead / ward team</w:t>
            </w:r>
          </w:p>
        </w:tc>
        <w:tc>
          <w:tcPr>
            <w:tcBorders>
              <w:top w:val="single" w:color="D1D5DB" w:sz="1"/>
              <w:left w:val="single" w:color="D1D5DB" w:sz="1"/>
              <w:bottom w:val="single" w:color="D1D5DB" w:sz="1"/>
              <w:right w:val="single" w:color="D1D5DB" w:sz="1"/>
            </w:tcBorders>
            <w:tcMar>
              <w:top w:type="dxa" w:w="60"/>
              <w:left w:type="dxa" w:w="120"/>
              <w:bottom w:type="dxa" w:w="60"/>
              <w:right w:type="dxa" w:w="120"/>
            </w:tcMar>
          </w:tcPr>
          <w:p>
            <w:r>
              <w:t xml:space="preserve">Within 3 months</w:t>
            </w:r>
          </w:p>
        </w:tc>
      </w:tr>
      <w:tr>
        <w:tc>
          <w:tcPr>
            <w:tcBorders>
              <w:top w:val="single" w:color="D1D5DB" w:sz="1"/>
              <w:left w:val="single" w:color="D1D5DB" w:sz="1"/>
              <w:bottom w:val="single" w:color="D1D5DB" w:sz="1"/>
              <w:right w:val="single" w:color="D1D5DB" w:sz="1"/>
            </w:tcBorders>
            <w:tcMar>
              <w:top w:type="dxa" w:w="60"/>
              <w:left w:type="dxa" w:w="120"/>
              <w:bottom w:type="dxa" w:w="60"/>
              <w:right w:type="dxa" w:w="120"/>
            </w:tcMar>
          </w:tcPr>
          <w:p>
            <w:r>
              <w:t xml:space="preserve">Blood cultures taken before antibiotics (93%)</w:t>
            </w:r>
          </w:p>
        </w:tc>
        <w:tc>
          <w:tcPr>
            <w:tcBorders>
              <w:top w:val="single" w:color="D1D5DB" w:sz="1"/>
              <w:left w:val="single" w:color="D1D5DB" w:sz="1"/>
              <w:bottom w:val="single" w:color="D1D5DB" w:sz="1"/>
              <w:right w:val="single" w:color="D1D5DB" w:sz="1"/>
            </w:tcBorders>
            <w:tcMar>
              <w:top w:type="dxa" w:w="60"/>
              <w:left w:type="dxa" w:w="120"/>
              <w:bottom w:type="dxa" w:w="60"/>
              <w:right w:type="dxa" w:w="120"/>
            </w:tcMar>
          </w:tcPr>
          <w:p>
            <w:r>
              <w:t xml:space="preserve">Targeted education, process prompts and feedback to clinical team</w:t>
            </w:r>
          </w:p>
        </w:tc>
        <w:tc>
          <w:tcPr>
            <w:tcBorders>
              <w:top w:val="single" w:color="D1D5DB" w:sz="1"/>
              <w:left w:val="single" w:color="D1D5DB" w:sz="1"/>
              <w:bottom w:val="single" w:color="D1D5DB" w:sz="1"/>
              <w:right w:val="single" w:color="D1D5DB" w:sz="1"/>
            </w:tcBorders>
            <w:tcMar>
              <w:top w:type="dxa" w:w="60"/>
              <w:left w:type="dxa" w:w="120"/>
              <w:bottom w:type="dxa" w:w="60"/>
              <w:right w:type="dxa" w:w="120"/>
            </w:tcMar>
          </w:tcPr>
          <w:p>
            <w:r>
              <w:t xml:space="preserve">Audit lead / ward team</w:t>
            </w:r>
          </w:p>
        </w:tc>
        <w:tc>
          <w:tcPr>
            <w:tcBorders>
              <w:top w:val="single" w:color="D1D5DB" w:sz="1"/>
              <w:left w:val="single" w:color="D1D5DB" w:sz="1"/>
              <w:bottom w:val="single" w:color="D1D5DB" w:sz="1"/>
              <w:right w:val="single" w:color="D1D5DB" w:sz="1"/>
            </w:tcBorders>
            <w:tcMar>
              <w:top w:type="dxa" w:w="60"/>
              <w:left w:type="dxa" w:w="120"/>
              <w:bottom w:type="dxa" w:w="60"/>
              <w:right w:type="dxa" w:w="120"/>
            </w:tcMar>
          </w:tcPr>
          <w:p>
            <w:r>
              <w:t xml:space="preserve">Within 3 months</w:t>
            </w:r>
          </w:p>
        </w:tc>
      </w:tr>
      <w:tr>
        <w:tc>
          <w:tcPr>
            <w:tcBorders>
              <w:top w:val="single" w:color="D1D5DB" w:sz="1"/>
              <w:left w:val="single" w:color="D1D5DB" w:sz="1"/>
              <w:bottom w:val="single" w:color="D1D5DB" w:sz="1"/>
              <w:right w:val="single" w:color="D1D5DB" w:sz="1"/>
            </w:tcBorders>
            <w:tcMar>
              <w:top w:type="dxa" w:w="60"/>
              <w:left w:type="dxa" w:w="120"/>
              <w:bottom w:type="dxa" w:w="60"/>
              <w:right w:type="dxa" w:w="120"/>
            </w:tcMar>
          </w:tcPr>
          <w:p>
            <w:r>
              <w:t xml:space="preserve">IV fluid resuscitation commenced where indicated (93%)</w:t>
            </w:r>
          </w:p>
        </w:tc>
        <w:tc>
          <w:tcPr>
            <w:tcBorders>
              <w:top w:val="single" w:color="D1D5DB" w:sz="1"/>
              <w:left w:val="single" w:color="D1D5DB" w:sz="1"/>
              <w:bottom w:val="single" w:color="D1D5DB" w:sz="1"/>
              <w:right w:val="single" w:color="D1D5DB" w:sz="1"/>
            </w:tcBorders>
            <w:tcMar>
              <w:top w:type="dxa" w:w="60"/>
              <w:left w:type="dxa" w:w="120"/>
              <w:bottom w:type="dxa" w:w="60"/>
              <w:right w:type="dxa" w:w="120"/>
            </w:tcMar>
          </w:tcPr>
          <w:p>
            <w:r>
              <w:t xml:space="preserve">Targeted education, process prompts and feedback to clinical team</w:t>
            </w:r>
          </w:p>
        </w:tc>
        <w:tc>
          <w:tcPr>
            <w:tcBorders>
              <w:top w:val="single" w:color="D1D5DB" w:sz="1"/>
              <w:left w:val="single" w:color="D1D5DB" w:sz="1"/>
              <w:bottom w:val="single" w:color="D1D5DB" w:sz="1"/>
              <w:right w:val="single" w:color="D1D5DB" w:sz="1"/>
            </w:tcBorders>
            <w:tcMar>
              <w:top w:type="dxa" w:w="60"/>
              <w:left w:type="dxa" w:w="120"/>
              <w:bottom w:type="dxa" w:w="60"/>
              <w:right w:type="dxa" w:w="120"/>
            </w:tcMar>
          </w:tcPr>
          <w:p>
            <w:r>
              <w:t xml:space="preserve">Audit lead / ward team</w:t>
            </w:r>
          </w:p>
        </w:tc>
        <w:tc>
          <w:tcPr>
            <w:tcBorders>
              <w:top w:val="single" w:color="D1D5DB" w:sz="1"/>
              <w:left w:val="single" w:color="D1D5DB" w:sz="1"/>
              <w:bottom w:val="single" w:color="D1D5DB" w:sz="1"/>
              <w:right w:val="single" w:color="D1D5DB" w:sz="1"/>
            </w:tcBorders>
            <w:tcMar>
              <w:top w:type="dxa" w:w="60"/>
              <w:left w:type="dxa" w:w="120"/>
              <w:bottom w:type="dxa" w:w="60"/>
              <w:right w:type="dxa" w:w="120"/>
            </w:tcMar>
          </w:tcPr>
          <w:p>
            <w:r>
              <w:t xml:space="preserve">Within 3 months</w:t>
            </w:r>
          </w:p>
        </w:tc>
      </w:tr>
    </w:tbl>
    <w:p>
      <w:pPr>
        <w:pStyle w:val="Heading2"/>
        <w:spacing w:after="120" w:before="260"/>
      </w:pPr>
      <w:r>
        <w:rPr>
          <w:b/>
          <w:bCs/>
          <w:color w:val="1A2B4A"/>
        </w:rPr>
        <w:t xml:space="preserve">Re-audit plan</w:t>
      </w:r>
    </w:p>
    <w:p>
      <w:pPr>
        <w:spacing w:after="120"/>
      </w:pPr>
      <w:r>
        <w:t xml:space="preserve">Re-audit is recommended within 6–12 months following implementation of the action plan to assess the impact of changes and confirm that improvements have been sustained. The same standard, criteria and methodology should be used to allow direct comparison.</w:t>
      </w:r>
    </w:p>
    <w:p>
      <w:pPr>
        <w:pStyle w:val="Heading2"/>
        <w:spacing w:after="120" w:before="260"/>
      </w:pPr>
      <w:r>
        <w:rPr>
          <w:b/>
          <w:bCs/>
          <w:color w:val="1A2B4A"/>
        </w:rPr>
        <w:t xml:space="preserve">References</w:t>
      </w:r>
    </w:p>
    <w:p>
      <w:pPr>
        <w:pStyle w:val="ListParagraph"/>
        <w:numPr>
          <w:ilvl w:val="0"/>
          <w:numId w:val="1"/>
        </w:numPr>
        <w:spacing w:after="60"/>
      </w:pPr>
      <w:r>
        <w:t xml:space="preserve">UK Sepsis Trust Sepsis Six care bundle</w:t>
      </w:r>
    </w:p>
    <w:p>
      <w:pPr>
        <w:pStyle w:val="ListParagraph"/>
        <w:numPr>
          <w:ilvl w:val="0"/>
          <w:numId w:val="1"/>
        </w:numPr>
        <w:spacing w:after="60"/>
      </w:pPr>
      <w:r>
        <w:t xml:space="preserve">NICE NG51 (Sepsis: recognition, diagnosis and early management).</w:t>
      </w:r>
    </w:p>
    <w:p>
      <w:pPr>
        <w:spacing w:before="240"/>
        <w:jc w:val="center"/>
      </w:pPr>
      <w:r>
        <w:rPr>
          <w:color w:val="6B7280"/>
          <w:sz w:val="18"/>
          <w:szCs w:val="18"/>
        </w:rPr>
        <w:t xml:space="preserve">Generated by Lazomis QI</w:t>
      </w:r>
    </w:p>
    <w:sectPr>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3dcb0f0089637b65f0e12dce3a3aa6c32908a4d7.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2026-07-26T12:14:47.400Z</dcterms:created>
  <dcterms:modified xsi:type="dcterms:W3CDTF">2026-07-26T12:14:47.400Z</dcterms:modified>
</cp:coreProperties>
</file>

<file path=docProps/custom.xml><?xml version="1.0" encoding="utf-8"?>
<Properties xmlns="http://schemas.openxmlformats.org/officeDocument/2006/custom-properties" xmlns:vt="http://schemas.openxmlformats.org/officeDocument/2006/docPropsVTypes"/>
</file>