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F6F73"/>
          <w:sz w:val="26"/>
          <w:szCs w:val="26"/>
        </w:rPr>
        <w:t xml:space="preserve">Lazomis QI</w:t>
      </w:r>
    </w:p>
    <w:p>
      <w:pPr>
        <w:spacing w:after="60"/>
      </w:pPr>
      <w:r>
        <w:rPr>
          <w:b/>
          <w:bCs/>
          <w:color w:val="141D47"/>
          <w:sz w:val="40"/>
          <w:szCs w:val="40"/>
        </w:rPr>
        <w:t xml:space="preserve">Sepsis Six Compliance Audit — Executive Summary</w:t>
      </w:r>
    </w:p>
    <w:p>
      <w:pPr>
        <w:spacing w:after="200"/>
      </w:pPr>
      <w:r>
        <w:rPr>
          <w:color w:val="555555"/>
          <w:sz w:val="22"/>
          <w:szCs w:val="22"/>
        </w:rPr>
        <w:t xml:space="preserve">Quality improvement project (baseline cycle) · Demo NHS Foundation Trust · 1 – 21 July 2026</w:t>
      </w:r>
    </w:p>
    <w:p>
      <w:pPr>
        <w:shd w:fill="FFF6D9" w:color="auto" w:val="clear"/>
        <w:spacing w:after="240"/>
      </w:pPr>
      <w:r>
        <w:rPr>
          <w:b/>
          <w:bCs/>
          <w:color w:val="6B5200"/>
          <w:sz w:val="20"/>
          <w:szCs w:val="20"/>
        </w:rPr>
        <w:t xml:space="preserve">DEMONSTRATION DOCUMENT. All patients, staff, organisations and results in this summary are fictitious. This document illustrates a Lazomis QI output and must not be used as clinical, governance, appraisal or ARCP evidence.</w:t>
      </w:r>
    </w:p>
    <w:p>
      <w:pPr>
        <w:pStyle w:val="Heading1"/>
      </w:pPr>
      <w:r>
        <w:rPr>
          <w:b/>
          <w:bCs/>
          <w:color w:val="141D47"/>
        </w:rPr>
        <w:t xml:space="preserve">Aim</w:t>
      </w:r>
    </w:p>
    <w:p>
      <w:pPr>
        <w:spacing w:after="140" w:before="120"/>
      </w:pPr>
      <w:r>
        <w:rPr>
          <w:sz w:val="22"/>
          <w:szCs w:val="22"/>
        </w:rPr>
        <w:t xml:space="preserve">To increase the proportion of patients receiving the complete applicable Sepsis Six bundle from 53% to ≥80% by 31 October 2026, with IV antibiotics within one hour in ≥95% of cases.</w:t>
      </w:r>
    </w:p>
    <w:p>
      <w:pPr>
        <w:pStyle w:val="Heading1"/>
      </w:pPr>
      <w:r>
        <w:rPr>
          <w:b/>
          <w:bCs/>
          <w:color w:val="141D47"/>
        </w:rPr>
        <w:t xml:space="preserve">Standard</w:t>
      </w:r>
    </w:p>
    <w:p>
      <w:pPr>
        <w:spacing w:after="140" w:before="120"/>
      </w:pPr>
      <w:r>
        <w:rPr>
          <w:sz w:val="22"/>
          <w:szCs w:val="22"/>
        </w:rPr>
        <w:t xml:space="preserve">UK Sepsis Trust Sepsis Six care bundle; NICE NG51 (Sepsis: recognition, diagnosis and early management).</w:t>
      </w:r>
    </w:p>
    <w:p>
      <w:pPr>
        <w:pStyle w:val="Heading1"/>
      </w:pPr>
      <w:r>
        <w:rPr>
          <w:b/>
          <w:bCs/>
          <w:color w:val="141D47"/>
        </w:rPr>
        <w:t xml:space="preserve">Headline findings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Measure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tcPr>
            <w:tcW w:type="dxa" w:w="5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Records screened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16</w:t>
            </w:r>
          </w:p>
        </w:tc>
      </w:tr>
      <w:tr>
        <w:tc>
          <w:tcPr>
            <w:tcW w:type="dxa" w:w="5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Records included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15</w:t>
            </w:r>
          </w:p>
        </w:tc>
      </w:tr>
      <w:tr>
        <w:tc>
          <w:tcPr>
            <w:tcW w:type="dxa" w:w="5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Fully compliant records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8 of 15</w:t>
            </w:r>
          </w:p>
        </w:tc>
      </w:tr>
      <w:tr>
        <w:tc>
          <w:tcPr>
            <w:tcW w:type="dxa" w:w="5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Overall compliance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53%</w:t>
            </w:r>
          </w:p>
        </w:tc>
      </w:tr>
      <w:tr>
        <w:tc>
          <w:tcPr>
            <w:tcW w:type="dxa" w:w="5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Local target</w:t>
            </w:r>
          </w:p>
        </w:tc>
        <w:tc>
          <w:tcPr>
            <w:tcW w:type="dxa" w:w="3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≥ 90% of the bundle delivered within one hour</w:t>
            </w:r>
          </w:p>
        </w:tc>
      </w:tr>
    </w:tbl>
    <w:p/>
    <w:p>
      <w:pPr>
        <w:pStyle w:val="Heading2"/>
      </w:pPr>
      <w:r>
        <w:rPr>
          <w:b/>
          <w:bCs/>
          <w:color w:val="141D47"/>
        </w:rPr>
        <w:t xml:space="preserve">Lowest-performing criteria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360"/>
        <w:gridCol w:w="2000"/>
      </w:tblGrid>
      <w:tr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Criterion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Compliance</w:t>
            </w:r>
          </w:p>
        </w:tc>
      </w:tr>
      <w:tr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Urine output measured / monitored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69%</w:t>
            </w:r>
          </w:p>
        </w:tc>
      </w:tr>
      <w:tr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IV antibiotics administered within 1 hour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80%</w:t>
            </w:r>
          </w:p>
        </w:tc>
      </w:tr>
      <w:tr>
        <w:tc>
          <w:tcPr>
            <w:tcW w:type="dxa" w:w="7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Blood cultures taken before antibiotics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93%</w:t>
            </w:r>
          </w:p>
        </w:tc>
      </w:tr>
    </w:tbl>
    <w:p/>
    <w:p>
      <w:pPr>
        <w:pStyle w:val="Heading1"/>
      </w:pPr>
      <w:r>
        <w:rPr>
          <w:b/>
          <w:bCs/>
          <w:color w:val="141D47"/>
        </w:rPr>
        <w:t xml:space="preserve">Interpretation</w:t>
      </w:r>
    </w:p>
    <w:p>
      <w:pPr>
        <w:pStyle w:val="Heading2"/>
      </w:pPr>
      <w:r>
        <w:rPr>
          <w:b/>
          <w:bCs/>
          <w:color w:val="141D47"/>
        </w:rPr>
        <w:t xml:space="preserve">Headline result</w:t>
      </w:r>
    </w:p>
    <w:p>
      <w:pPr>
        <w:spacing w:after="140" w:before="120"/>
      </w:pPr>
      <w:r>
        <w:rPr>
          <w:sz w:val="22"/>
          <w:szCs w:val="22"/>
        </w:rPr>
        <w:t xml:space="preserve">15 of 16 screened records were eligible. 8 of 15 (53%) received every applicable bundle element. One record was excluded (end-of-life pathway).</w:t>
      </w:r>
    </w:p>
    <w:p>
      <w:pPr>
        <w:pStyle w:val="Heading2"/>
      </w:pPr>
      <w:r>
        <w:rPr>
          <w:b/>
          <w:bCs/>
          <w:color w:val="141D47"/>
        </w:rPr>
        <w:t xml:space="preserve">Good practice</w:t>
      </w:r>
    </w:p>
    <w:p>
      <w:pPr>
        <w:spacing w:after="140" w:before="120"/>
      </w:pPr>
      <w:r>
        <w:rPr>
          <w:sz w:val="22"/>
          <w:szCs w:val="22"/>
        </w:rPr>
        <w:t xml:space="preserve">Oxygen delivery and serum lactate measurement were both delivered in 100% of applicable records — consistently reliable elements.</w:t>
      </w:r>
    </w:p>
    <w:p>
      <w:pPr>
        <w:pStyle w:val="Heading2"/>
      </w:pPr>
      <w:r>
        <w:rPr>
          <w:b/>
          <w:bCs/>
          <w:color w:val="141D47"/>
        </w:rPr>
        <w:t xml:space="preserve">Weakest criterion</w:t>
      </w:r>
    </w:p>
    <w:p>
      <w:pPr>
        <w:spacing w:after="140" w:before="120"/>
      </w:pPr>
      <w:r>
        <w:rPr>
          <w:sz w:val="22"/>
          <w:szCs w:val="22"/>
        </w:rPr>
        <w:t xml:space="preserve">Urine output measurement was completed in 69% of applicable records, the lowest-performing element and the main driver of incomplete bundles.</w:t>
      </w:r>
    </w:p>
    <w:p>
      <w:pPr>
        <w:pStyle w:val="Heading1"/>
      </w:pPr>
      <w:r>
        <w:rPr>
          <w:b/>
          <w:bCs/>
          <w:color w:val="141D47"/>
        </w:rPr>
        <w:t xml:space="preserve">Risks and governance implications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Urine output not measured or recorded — currently 69%, target ≥ 90% (High priority).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IV antibiotics not given within one hour — currently 80%, target ≥ 95% (High priority).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Blood cultures occasionally taken after antibiotics — currently 93%, target ≥ 95% (Medium priority).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Fluid resuscitation not commenced where indicated — currently 93%, target ≥ 95% (Medium priority).</w:t>
      </w:r>
    </w:p>
    <w:p>
      <w:pPr>
        <w:pStyle w:val="Heading1"/>
      </w:pPr>
      <w:r>
        <w:rPr>
          <w:b/>
          <w:bCs/>
          <w:color w:val="141D47"/>
        </w:rPr>
        <w:t xml:space="preserve">Priority actions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2100"/>
        <w:gridCol w:w="1500"/>
        <w:gridCol w:w="1360"/>
      </w:tblGrid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Target date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41D4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Start the fluid balance chart in ED and hand it over at transfer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S. Okafor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31 August 2026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Completed</w:t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Introduce a nurse-initiated first-dose antibiotic pathway for overnight sepsis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Dr A. Patel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31 October 2026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 progress</w:t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Add a one-hour sepsis countdown prompt to the observation system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Dr J. Nguyen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30 November 2026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Planned</w:t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Weekly time-to-antibiotics run chart circulated to ED and AMU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L. Byrne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15 September 2026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6F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 progress</w:t>
            </w:r>
          </w:p>
        </w:tc>
      </w:tr>
      <w:tr>
        <w:tc>
          <w:tcPr>
            <w:tcW w:type="dxa" w:w="4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Trust-wide sepsis study day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Dr H. Ahmed</w:t>
            </w:r>
          </w:p>
        </w:tc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—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Deferred</w:t>
            </w:r>
          </w:p>
        </w:tc>
      </w:tr>
    </w:tbl>
    <w:p/>
    <w:p>
      <w:pPr>
        <w:pStyle w:val="Heading1"/>
      </w:pPr>
      <w:r>
        <w:rPr>
          <w:b/>
          <w:bCs/>
          <w:color w:val="141D47"/>
        </w:rPr>
        <w:t xml:space="preserve">Assurance and next steps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Re-audit planned for 2 November 2026 with a target sample of 40 eligible patients (minimum 30).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Measure of success: Proportion of eligible patients receiving every applicable bundle element, with time-to-antibiotics reported separately.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Monitoring: Weekly sample of 5 screened-positive patients from September 2026, plotted on a run chart.</w:t>
      </w:r>
    </w:p>
    <w:p>
      <w:pPr>
        <w:pStyle w:val="ListParagraph"/>
        <w:numPr>
          <w:ilvl w:val="0"/>
          <w:numId w:val="2"/>
        </w:numPr>
      </w:pPr>
      <w:r>
        <w:rPr>
          <w:sz w:val="22"/>
          <w:szCs w:val="22"/>
        </w:rPr>
        <w:t xml:space="preserve">Process owner named and recorded in the departmental governance log.</w:t>
      </w:r>
    </w:p>
    <w:p>
      <w:pPr>
        <w:spacing w:after="140" w:before="120"/>
      </w:pPr>
      <w:r>
        <w:rPr>
          <w:sz w:val="22"/>
          <w:szCs w:val="22"/>
        </w:rPr>
        <w:t xml:space="preserve">This summary supports, but does not replace, clinical judgement. Local policy, formulary and specialist advice should be followed.</w:t>
      </w:r>
    </w:p>
    <w:sectPr>
      <w:headerReference w:type="default" r:id="rId7"/>
      <w:footerReference w:type="default" r:id="rId8"/>
      <w:pgSz w:w="12240" w:h="15840" w:orient="portrait"/>
      <w:pgMar w:top="1200" w:right="1080" w:bottom="12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66666"/>
        <w:sz w:val="16"/>
        <w:szCs w:val="16"/>
      </w:rPr>
      <w:t xml:space="preserve">Lazomis QI · Demonstration output · Page </w:t>
    </w:r>
    <w:r>
      <w:rPr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FAC005" w:sz="6" w:space="4"/>
      </w:pBdr>
    </w:pPr>
    <w:r>
      <w:rPr>
        <w:b/>
        <w:bCs/>
        <w:color w:val="8A6A00"/>
        <w:sz w:val="16"/>
        <w:szCs w:val="16"/>
      </w:rPr>
      <w:t xml:space="preserve">DEMONSTRATION DATA — fictitious data, not for clinical use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20"/>
      <w:outlineLvl w:val="0"/>
    </w:pPr>
    <w:rPr>
      <w:rFonts w:ascii="Arial" w:cs="Arial" w:eastAsia="Arial" w:hAnsi="Arial"/>
      <w:b/>
      <w:bCs/>
      <w:color w:val="141D47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41D47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2026-07-27T20:51:34.239Z</dcterms:created>
  <dcterms:modified xsi:type="dcterms:W3CDTF">2026-07-27T20:51:34.239Z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