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b/>
          <w:bCs/>
          <w:color w:val="0F6F73"/>
          <w:sz w:val="26"/>
          <w:szCs w:val="26"/>
        </w:rPr>
        <w:t xml:space="preserve">Lazomis QI</w:t>
      </w:r>
    </w:p>
    <w:p>
      <w:pPr>
        <w:spacing w:after="60"/>
      </w:pPr>
      <w:r>
        <w:rPr>
          <w:b/>
          <w:bCs/>
          <w:color w:val="141D47"/>
          <w:sz w:val="40"/>
          <w:szCs w:val="40"/>
        </w:rPr>
        <w:t xml:space="preserve">Sepsis Six Compliance Audit — ARCP Evidence Summary</w:t>
      </w:r>
    </w:p>
    <w:p>
      <w:pPr>
        <w:spacing w:after="200"/>
      </w:pPr>
      <w:r>
        <w:rPr>
          <w:color w:val="555555"/>
          <w:sz w:val="22"/>
          <w:szCs w:val="22"/>
        </w:rPr>
        <w:t xml:space="preserve">Quality improvement evidence · Demo NHS Foundation Trust · 1 – 21 July 2026</w:t>
      </w:r>
    </w:p>
    <w:p>
      <w:pPr>
        <w:shd w:fill="FFF6D9" w:color="auto" w:val="clear"/>
        <w:spacing w:after="240"/>
      </w:pPr>
      <w:r>
        <w:rPr>
          <w:b/>
          <w:bCs/>
          <w:color w:val="6B5200"/>
          <w:sz w:val="20"/>
          <w:szCs w:val="20"/>
        </w:rPr>
        <w:t xml:space="preserve">DEMONSTRATION DOCUMENT. All patients, staff, organisations and results in this summary are fictitious. This document illustrates a Lazomis QI output and must not be used as clinical, governance, appraisal or ARCP evidence.</w:t>
      </w:r>
    </w:p>
    <w:p>
      <w:pPr>
        <w:pStyle w:val="Heading1"/>
      </w:pPr>
      <w:r>
        <w:rPr>
          <w:b/>
          <w:bCs/>
          <w:color w:val="141D47"/>
        </w:rPr>
        <w:t xml:space="preserve">Trainee and project details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00"/>
        <w:gridCol w:w="6560"/>
      </w:tblGrid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41D4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Item</w:t>
            </w:r>
          </w:p>
        </w:tc>
        <w:tc>
          <w:tcPr>
            <w:tcW w:type="dxa" w:w="6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41D4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Detail</w:t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Trainee (demonstration)</w:t>
            </w:r>
          </w:p>
        </w:tc>
        <w:tc>
          <w:tcPr>
            <w:tcW w:type="dxa" w:w="6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Dr A. Sample, ST4 Acute Internal Medicine</w:t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6F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Supervisor (demonstration)</w:t>
            </w:r>
          </w:p>
        </w:tc>
        <w:tc>
          <w:tcPr>
            <w:tcW w:type="dxa" w:w="6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6F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Dr R. Example, Consultant Physician</w:t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Project title</w:t>
            </w:r>
          </w:p>
        </w:tc>
        <w:tc>
          <w:tcPr>
            <w:tcW w:type="dxa" w:w="6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Sepsis Six Compliance Audit</w:t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6F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Project type</w:t>
            </w:r>
          </w:p>
        </w:tc>
        <w:tc>
          <w:tcPr>
            <w:tcW w:type="dxa" w:w="6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6F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Quality improvement project (baseline cycle)</w:t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Cycle</w:t>
            </w:r>
          </w:p>
        </w:tc>
        <w:tc>
          <w:tcPr>
            <w:tcW w:type="dxa" w:w="6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Cycle 1 (baseline)</w:t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6F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Organisation</w:t>
            </w:r>
          </w:p>
        </w:tc>
        <w:tc>
          <w:tcPr>
            <w:tcW w:type="dxa" w:w="6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6F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Demo NHS Foundation Trust</w:t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Data-collection period</w:t>
            </w:r>
          </w:p>
        </w:tc>
        <w:tc>
          <w:tcPr>
            <w:tcW w:type="dxa" w:w="6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1 – 21 July 2026</w:t>
            </w:r>
          </w:p>
        </w:tc>
      </w:tr>
    </w:tbl>
    <w:p/>
    <w:p>
      <w:pPr>
        <w:pStyle w:val="Heading1"/>
      </w:pPr>
      <w:r>
        <w:rPr>
          <w:b/>
          <w:bCs/>
          <w:color w:val="141D47"/>
        </w:rPr>
        <w:t xml:space="preserve">Role and contribution</w:t>
      </w:r>
    </w:p>
    <w:p>
      <w:pPr>
        <w:pStyle w:val="ListParagraph"/>
        <w:numPr>
          <w:ilvl w:val="0"/>
          <w:numId w:val="2"/>
        </w:numPr>
      </w:pPr>
      <w:r>
        <w:rPr>
          <w:sz w:val="22"/>
          <w:szCs w:val="22"/>
        </w:rPr>
        <w:t xml:space="preserve">Led project design, standard selection and criteria development.</w:t>
      </w:r>
    </w:p>
    <w:p>
      <w:pPr>
        <w:pStyle w:val="ListParagraph"/>
        <w:numPr>
          <w:ilvl w:val="0"/>
          <w:numId w:val="2"/>
        </w:numPr>
      </w:pPr>
      <w:r>
        <w:rPr>
          <w:sz w:val="22"/>
          <w:szCs w:val="22"/>
        </w:rPr>
        <w:t xml:space="preserve">Coordinated data collection and quality-assured submissions.</w:t>
      </w:r>
    </w:p>
    <w:p>
      <w:pPr>
        <w:pStyle w:val="ListParagraph"/>
        <w:numPr>
          <w:ilvl w:val="0"/>
          <w:numId w:val="2"/>
        </w:numPr>
      </w:pPr>
      <w:r>
        <w:rPr>
          <w:sz w:val="22"/>
          <w:szCs w:val="22"/>
        </w:rPr>
        <w:t xml:space="preserve">Analysed results and presented findings at the departmental governance meeting.</w:t>
      </w:r>
    </w:p>
    <w:p>
      <w:pPr>
        <w:pStyle w:val="ListParagraph"/>
        <w:numPr>
          <w:ilvl w:val="0"/>
          <w:numId w:val="2"/>
        </w:numPr>
      </w:pPr>
      <w:r>
        <w:rPr>
          <w:sz w:val="22"/>
          <w:szCs w:val="22"/>
        </w:rPr>
        <w:t xml:space="preserve">Agreed and owned improvement actions with named colleagues and target dates.</w:t>
      </w:r>
    </w:p>
    <w:p>
      <w:pPr>
        <w:pStyle w:val="Heading1"/>
      </w:pPr>
      <w:r>
        <w:rPr>
          <w:b/>
          <w:bCs/>
          <w:color w:val="141D47"/>
        </w:rPr>
        <w:t xml:space="preserve">Aim and standard</w:t>
      </w:r>
    </w:p>
    <w:p>
      <w:pPr>
        <w:spacing w:after="140" w:before="120"/>
      </w:pPr>
      <w:r>
        <w:rPr>
          <w:sz w:val="22"/>
          <w:szCs w:val="22"/>
        </w:rPr>
        <w:t xml:space="preserve">To increase the proportion of patients receiving the complete applicable Sepsis Six bundle from 53% to ≥80% by 31 October 2026, with IV antibiotics within one hour in ≥95% of cases.</w:t>
      </w:r>
    </w:p>
    <w:p>
      <w:pPr>
        <w:spacing w:after="140" w:before="120"/>
      </w:pPr>
      <w:r>
        <w:rPr>
          <w:sz w:val="22"/>
          <w:szCs w:val="22"/>
        </w:rPr>
        <w:t xml:space="preserve">UK Sepsis Trust Sepsis Six care bundle; NICE NG51 (Sepsis: recognition, diagnosis and early management).</w:t>
      </w:r>
    </w:p>
    <w:p>
      <w:pPr>
        <w:pStyle w:val="Heading1"/>
      </w:pPr>
      <w:r>
        <w:rPr>
          <w:b/>
          <w:bCs/>
          <w:color w:val="141D47"/>
        </w:rPr>
        <w:t xml:space="preserve">Method</w:t>
      </w:r>
    </w:p>
    <w:p>
      <w:pPr>
        <w:pStyle w:val="ListParagraph"/>
        <w:numPr>
          <w:ilvl w:val="0"/>
          <w:numId w:val="2"/>
        </w:numPr>
      </w:pPr>
      <w:r>
        <w:rPr>
          <w:sz w:val="22"/>
          <w:szCs w:val="22"/>
        </w:rPr>
        <w:t xml:space="preserve">16 records screened; 15 met inclusion criteria.</w:t>
      </w:r>
    </w:p>
    <w:p>
      <w:pPr>
        <w:pStyle w:val="ListParagraph"/>
        <w:numPr>
          <w:ilvl w:val="0"/>
          <w:numId w:val="2"/>
        </w:numPr>
      </w:pPr>
      <w:r>
        <w:rPr>
          <w:sz w:val="22"/>
          <w:szCs w:val="22"/>
        </w:rPr>
        <w:t xml:space="preserve">Retrospective record review against pre-agreed criteria, using anonymised identifiers.</w:t>
      </w:r>
    </w:p>
    <w:p>
      <w:pPr>
        <w:pStyle w:val="ListParagraph"/>
        <w:numPr>
          <w:ilvl w:val="0"/>
          <w:numId w:val="2"/>
        </w:numPr>
      </w:pPr>
      <w:r>
        <w:rPr>
          <w:sz w:val="22"/>
          <w:szCs w:val="22"/>
        </w:rPr>
        <w:t xml:space="preserve">Electronic patient record and drug chart review.</w:t>
      </w:r>
    </w:p>
    <w:p>
      <w:pPr>
        <w:pStyle w:val="Heading1"/>
      </w:pPr>
      <w:r>
        <w:rPr>
          <w:b/>
          <w:bCs/>
          <w:color w:val="141D47"/>
        </w:rPr>
        <w:t xml:space="preserve">Results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600"/>
        <w:gridCol w:w="1880"/>
        <w:gridCol w:w="1880"/>
      </w:tblGrid>
      <w:tr>
        <w:tc>
          <w:tcPr>
            <w:tcW w:type="dxa" w:w="5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41D4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Criterion</w:t>
            </w:r>
          </w:p>
        </w:tc>
        <w:tc>
          <w:tcPr>
            <w:tcW w:type="dxa" w:w="1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41D4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Compliance</w:t>
            </w:r>
          </w:p>
        </w:tc>
        <w:tc>
          <w:tcPr>
            <w:tcW w:type="dxa" w:w="1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41D4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Target</w:t>
            </w:r>
          </w:p>
        </w:tc>
      </w:tr>
      <w:tr>
        <w:tc>
          <w:tcPr>
            <w:tcW w:type="dxa" w:w="5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Oxygen given to maintain target saturations</w:t>
            </w:r>
          </w:p>
        </w:tc>
        <w:tc>
          <w:tcPr>
            <w:tcW w:type="dxa" w:w="1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100%</w:t>
            </w:r>
          </w:p>
        </w:tc>
        <w:tc>
          <w:tcPr>
            <w:tcW w:type="dxa" w:w="1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95%</w:t>
            </w:r>
          </w:p>
        </w:tc>
      </w:tr>
      <w:tr>
        <w:tc>
          <w:tcPr>
            <w:tcW w:type="dxa" w:w="5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6F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Blood cultures taken before antibiotics</w:t>
            </w:r>
          </w:p>
        </w:tc>
        <w:tc>
          <w:tcPr>
            <w:tcW w:type="dxa" w:w="1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6F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93%</w:t>
            </w:r>
          </w:p>
        </w:tc>
        <w:tc>
          <w:tcPr>
            <w:tcW w:type="dxa" w:w="1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6F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95%</w:t>
            </w:r>
          </w:p>
        </w:tc>
      </w:tr>
      <w:tr>
        <w:tc>
          <w:tcPr>
            <w:tcW w:type="dxa" w:w="5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IV antibiotics administered within 1 hour</w:t>
            </w:r>
          </w:p>
        </w:tc>
        <w:tc>
          <w:tcPr>
            <w:tcW w:type="dxa" w:w="1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80%</w:t>
            </w:r>
          </w:p>
        </w:tc>
        <w:tc>
          <w:tcPr>
            <w:tcW w:type="dxa" w:w="1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95%</w:t>
            </w:r>
          </w:p>
        </w:tc>
      </w:tr>
      <w:tr>
        <w:tc>
          <w:tcPr>
            <w:tcW w:type="dxa" w:w="5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6F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IV fluid resuscitation commenced where indicated</w:t>
            </w:r>
          </w:p>
        </w:tc>
        <w:tc>
          <w:tcPr>
            <w:tcW w:type="dxa" w:w="1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6F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93%</w:t>
            </w:r>
          </w:p>
        </w:tc>
        <w:tc>
          <w:tcPr>
            <w:tcW w:type="dxa" w:w="1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6F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95%</w:t>
            </w:r>
          </w:p>
        </w:tc>
      </w:tr>
      <w:tr>
        <w:tc>
          <w:tcPr>
            <w:tcW w:type="dxa" w:w="5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Serum lactate measured</w:t>
            </w:r>
          </w:p>
        </w:tc>
        <w:tc>
          <w:tcPr>
            <w:tcW w:type="dxa" w:w="1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100%</w:t>
            </w:r>
          </w:p>
        </w:tc>
        <w:tc>
          <w:tcPr>
            <w:tcW w:type="dxa" w:w="1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95%</w:t>
            </w:r>
          </w:p>
        </w:tc>
      </w:tr>
      <w:tr>
        <w:tc>
          <w:tcPr>
            <w:tcW w:type="dxa" w:w="5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6F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Urine output measured / monitored</w:t>
            </w:r>
          </w:p>
        </w:tc>
        <w:tc>
          <w:tcPr>
            <w:tcW w:type="dxa" w:w="1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6F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69%</w:t>
            </w:r>
          </w:p>
        </w:tc>
        <w:tc>
          <w:tcPr>
            <w:tcW w:type="dxa" w:w="18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6F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95%</w:t>
            </w:r>
          </w:p>
        </w:tc>
      </w:tr>
    </w:tbl>
    <w:p/>
    <w:p>
      <w:pPr>
        <w:spacing w:after="140" w:before="120"/>
      </w:pPr>
      <w:r>
        <w:rPr>
          <w:sz w:val="22"/>
          <w:szCs w:val="22"/>
        </w:rPr>
        <w:t xml:space="preserve">Overall, 8 of 15 records (53%) met every applicable criterion.</w:t>
      </w:r>
    </w:p>
    <w:p>
      <w:pPr>
        <w:pStyle w:val="Heading1"/>
      </w:pPr>
      <w:r>
        <w:rPr>
          <w:b/>
          <w:bCs/>
          <w:color w:val="141D47"/>
        </w:rPr>
        <w:t xml:space="preserve">Change implemented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0"/>
        <w:gridCol w:w="2100"/>
        <w:gridCol w:w="1500"/>
        <w:gridCol w:w="1360"/>
      </w:tblGrid>
      <w:tr>
        <w:tc>
          <w:tcPr>
            <w:tcW w:type="dxa" w:w="4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41D4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Action</w:t>
            </w:r>
          </w:p>
        </w:tc>
        <w:tc>
          <w:tcPr>
            <w:tcW w:type="dxa" w:w="21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41D4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Owner</w:t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41D4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Target date</w:t>
            </w:r>
          </w:p>
        </w:tc>
        <w:tc>
          <w:tcPr>
            <w:tcW w:type="dxa" w:w="1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41D4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Status</w:t>
            </w:r>
          </w:p>
        </w:tc>
      </w:tr>
      <w:tr>
        <w:tc>
          <w:tcPr>
            <w:tcW w:type="dxa" w:w="4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Start the fluid balance chart in ED and hand it over at transfer</w:t>
            </w:r>
          </w:p>
        </w:tc>
        <w:tc>
          <w:tcPr>
            <w:tcW w:type="dxa" w:w="21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S. Okafor</w:t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31 August 2026</w:t>
            </w:r>
          </w:p>
        </w:tc>
        <w:tc>
          <w:tcPr>
            <w:tcW w:type="dxa" w:w="1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Completed</w:t>
            </w:r>
          </w:p>
        </w:tc>
      </w:tr>
      <w:tr>
        <w:tc>
          <w:tcPr>
            <w:tcW w:type="dxa" w:w="4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6F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Introduce a nurse-initiated first-dose antibiotic pathway for overnight sepsis</w:t>
            </w:r>
          </w:p>
        </w:tc>
        <w:tc>
          <w:tcPr>
            <w:tcW w:type="dxa" w:w="21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6F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Dr A. Patel</w:t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6F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31 October 2026</w:t>
            </w:r>
          </w:p>
        </w:tc>
        <w:tc>
          <w:tcPr>
            <w:tcW w:type="dxa" w:w="1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6F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In progress</w:t>
            </w:r>
          </w:p>
        </w:tc>
      </w:tr>
      <w:tr>
        <w:tc>
          <w:tcPr>
            <w:tcW w:type="dxa" w:w="4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Add a one-hour sepsis countdown prompt to the observation system</w:t>
            </w:r>
          </w:p>
        </w:tc>
        <w:tc>
          <w:tcPr>
            <w:tcW w:type="dxa" w:w="21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Dr J. Nguyen</w:t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30 November 2026</w:t>
            </w:r>
          </w:p>
        </w:tc>
        <w:tc>
          <w:tcPr>
            <w:tcW w:type="dxa" w:w="1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Planned</w:t>
            </w:r>
          </w:p>
        </w:tc>
      </w:tr>
      <w:tr>
        <w:tc>
          <w:tcPr>
            <w:tcW w:type="dxa" w:w="4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6F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Weekly time-to-antibiotics run chart circulated to ED and AMU</w:t>
            </w:r>
          </w:p>
        </w:tc>
        <w:tc>
          <w:tcPr>
            <w:tcW w:type="dxa" w:w="21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6F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L. Byrne</w:t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6F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15 September 2026</w:t>
            </w:r>
          </w:p>
        </w:tc>
        <w:tc>
          <w:tcPr>
            <w:tcW w:type="dxa" w:w="1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6F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In progress</w:t>
            </w:r>
          </w:p>
        </w:tc>
      </w:tr>
      <w:tr>
        <w:tc>
          <w:tcPr>
            <w:tcW w:type="dxa" w:w="4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Trust-wide sepsis study day</w:t>
            </w:r>
          </w:p>
        </w:tc>
        <w:tc>
          <w:tcPr>
            <w:tcW w:type="dxa" w:w="21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Dr H. Ahmed</w:t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—</w:t>
            </w:r>
          </w:p>
        </w:tc>
        <w:tc>
          <w:tcPr>
            <w:tcW w:type="dxa" w:w="1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Deferred</w:t>
            </w:r>
          </w:p>
        </w:tc>
      </w:tr>
    </w:tbl>
    <w:p/>
    <w:p>
      <w:pPr>
        <w:pStyle w:val="Heading1"/>
      </w:pPr>
      <w:r>
        <w:rPr>
          <w:b/>
          <w:bCs/>
          <w:color w:val="141D47"/>
        </w:rPr>
        <w:t xml:space="preserve">Reflection and learning</w:t>
      </w:r>
    </w:p>
    <w:p>
      <w:pPr>
        <w:spacing w:after="140" w:before="120"/>
      </w:pPr>
      <w:r>
        <w:rPr>
          <w:sz w:val="22"/>
          <w:szCs w:val="22"/>
        </w:rPr>
        <w:t xml:space="preserve">Measuring the bundle element by element rather than as a single pass/fail changed the improvement plan entirely — a general education intervention would have missed the actual cause.</w:t>
      </w:r>
    </w:p>
    <w:p>
      <w:pPr>
        <w:pStyle w:val="ListParagraph"/>
        <w:numPr>
          <w:ilvl w:val="0"/>
          <w:numId w:val="2"/>
        </w:numPr>
      </w:pPr>
      <w:r>
        <w:rPr>
          <w:sz w:val="22"/>
          <w:szCs w:val="22"/>
        </w:rPr>
        <w:t xml:space="preserve">The bundle failed as a whole because of one element, not because of general poor practice.</w:t>
      </w:r>
    </w:p>
    <w:p>
      <w:pPr>
        <w:pStyle w:val="ListParagraph"/>
        <w:numPr>
          <w:ilvl w:val="0"/>
          <w:numId w:val="2"/>
        </w:numPr>
      </w:pPr>
      <w:r>
        <w:rPr>
          <w:sz w:val="22"/>
          <w:szCs w:val="22"/>
        </w:rPr>
        <w:t xml:space="preserve">Overnight performance cannot be inferred from daytime sampling.</w:t>
      </w:r>
    </w:p>
    <w:p>
      <w:pPr>
        <w:pStyle w:val="ListParagraph"/>
        <w:numPr>
          <w:ilvl w:val="0"/>
          <w:numId w:val="2"/>
        </w:numPr>
      </w:pPr>
      <w:r>
        <w:rPr>
          <w:sz w:val="22"/>
          <w:szCs w:val="22"/>
        </w:rPr>
        <w:t xml:space="preserve">Excluding end-of-life patients explicitly avoided a misleading denominator.</w:t>
      </w:r>
    </w:p>
    <w:p>
      <w:pPr>
        <w:pStyle w:val="Heading1"/>
      </w:pPr>
      <w:r>
        <w:rPr>
          <w:b/>
          <w:bCs/>
          <w:color w:val="141D47"/>
        </w:rPr>
        <w:t xml:space="preserve">Curriculum and capability mapping (demonstration)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6160"/>
      </w:tblGrid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41D4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Framework</w:t>
            </w:r>
          </w:p>
        </w:tc>
        <w:tc>
          <w:tcPr>
            <w:tcW w:type="dxa" w:w="6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41D4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Mapped area</w:t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GMC Good Medical Practice</w:t>
            </w:r>
          </w:p>
        </w:tc>
        <w:tc>
          <w:tcPr>
            <w:tcW w:type="dxa" w:w="6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Domain 1 — Knowledge, skills and development (quality improvement activity)</w:t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6F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Generic Professional Capabilities</w:t>
            </w:r>
          </w:p>
        </w:tc>
        <w:tc>
          <w:tcPr>
            <w:tcW w:type="dxa" w:w="6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6F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Domain 6 — Patient safety and quality improvement</w:t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Specialty curriculum</w:t>
            </w:r>
          </w:p>
        </w:tc>
        <w:tc>
          <w:tcPr>
            <w:tcW w:type="dxa" w:w="6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Quality improvement project with completed cycle and measurable change</w:t>
            </w:r>
          </w:p>
        </w:tc>
      </w:tr>
    </w:tbl>
    <w:p/>
    <w:p>
      <w:pPr>
        <w:pStyle w:val="Heading1"/>
      </w:pPr>
      <w:r>
        <w:rPr>
          <w:b/>
          <w:bCs/>
          <w:color w:val="141D47"/>
        </w:rPr>
        <w:t xml:space="preserve">Next cycle</w:t>
      </w:r>
    </w:p>
    <w:p>
      <w:pPr>
        <w:pStyle w:val="ListParagraph"/>
        <w:numPr>
          <w:ilvl w:val="0"/>
          <w:numId w:val="2"/>
        </w:numPr>
      </w:pPr>
      <w:r>
        <w:rPr>
          <w:sz w:val="22"/>
          <w:szCs w:val="22"/>
        </w:rPr>
        <w:t xml:space="preserve">Re-audit date: 2 November 2026</w:t>
      </w:r>
    </w:p>
    <w:p>
      <w:pPr>
        <w:pStyle w:val="ListParagraph"/>
        <w:numPr>
          <w:ilvl w:val="0"/>
          <w:numId w:val="2"/>
        </w:numPr>
      </w:pPr>
      <w:r>
        <w:rPr>
          <w:sz w:val="22"/>
          <w:szCs w:val="22"/>
        </w:rPr>
        <w:t xml:space="preserve">Target sample size: 40 eligible patients (minimum 30)</w:t>
      </w:r>
    </w:p>
    <w:p>
      <w:pPr>
        <w:pStyle w:val="ListParagraph"/>
        <w:numPr>
          <w:ilvl w:val="0"/>
          <w:numId w:val="2"/>
        </w:numPr>
      </w:pPr>
      <w:r>
        <w:rPr>
          <w:sz w:val="22"/>
          <w:szCs w:val="22"/>
        </w:rPr>
        <w:t xml:space="preserve">Expected improvement: Full bundle 53% → ≥80%; urine output 69% → ≥90%; antibiotics within one hour 80% → ≥95%</w:t>
      </w:r>
    </w:p>
    <w:p>
      <w:pPr>
        <w:spacing w:after="140" w:before="120"/>
      </w:pPr>
      <w:r>
        <w:rPr>
          <w:sz w:val="22"/>
          <w:szCs w:val="22"/>
        </w:rPr>
        <w:t xml:space="preserve">This evidence summary is a demonstration output. Trainees remain responsible for the accuracy of evidence submitted to ARCP or appraisal.</w:t>
      </w:r>
    </w:p>
    <w:sectPr>
      <w:headerReference w:type="default" r:id="rId7"/>
      <w:footerReference w:type="default" r:id="rId8"/>
      <w:pgSz w:w="12240" w:h="15840" w:orient="portrait"/>
      <w:pgMar w:top="1200" w:right="1080" w:bottom="120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666666"/>
        <w:sz w:val="16"/>
        <w:szCs w:val="16"/>
      </w:rPr>
      <w:t xml:space="preserve">Lazomis QI · Demonstration output · Page </w:t>
    </w:r>
    <w:r>
      <w:rPr>
        <w:color w:val="666666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FAC005" w:sz="6" w:space="4"/>
      </w:pBdr>
    </w:pPr>
    <w:r>
      <w:rPr>
        <w:b/>
        <w:bCs/>
        <w:color w:val="8A6A00"/>
        <w:sz w:val="16"/>
        <w:szCs w:val="16"/>
      </w:rPr>
      <w:t xml:space="preserve">DEMONSTRATION DATA — fictitious data, not for clinical use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80" w:hanging="24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80" w:before="320"/>
      <w:outlineLvl w:val="0"/>
    </w:pPr>
    <w:rPr>
      <w:rFonts w:ascii="Arial" w:cs="Arial" w:eastAsia="Arial" w:hAnsi="Arial"/>
      <w:b/>
      <w:bCs/>
      <w:color w:val="141D47"/>
      <w:sz w:val="30"/>
      <w:szCs w:val="30"/>
    </w:rPr>
  </w:style>
  <w:style w:type="paragraph" w:styleId="Heading2">
    <w:name w:val="Heading 2"/>
    <w:basedOn w:val="Normal"/>
    <w:next w:val="Normal"/>
    <w:qFormat/>
    <w:pPr>
      <w:spacing w:after="120" w:before="240"/>
      <w:outlineLvl w:val="1"/>
    </w:pPr>
    <w:rPr>
      <w:rFonts w:ascii="Arial" w:cs="Arial" w:eastAsia="Arial" w:hAnsi="Arial"/>
      <w:b/>
      <w:bCs/>
      <w:color w:val="141D47"/>
      <w:sz w:val="25"/>
      <w:szCs w:val="25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2026-07-27T20:51:34.291Z</dcterms:created>
  <dcterms:modified xsi:type="dcterms:W3CDTF">2026-07-27T20:51:34.291Z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